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2" w:rsidRPr="00464984" w:rsidRDefault="00464984" w:rsidP="00464984">
      <w:pPr>
        <w:tabs>
          <w:tab w:val="left" w:pos="6900"/>
          <w:tab w:val="right" w:pos="9354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Утверждаю: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464984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</w:p>
    <w:p w:rsidR="00464984" w:rsidRPr="00464984" w:rsidRDefault="00464984" w:rsidP="00464984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</w:t>
      </w:r>
      <w:r w:rsidRPr="00464984">
        <w:rPr>
          <w:rFonts w:ascii="Times New Roman" w:hAnsi="Times New Roman" w:cs="Times New Roman"/>
          <w:noProof/>
          <w:sz w:val="28"/>
          <w:szCs w:val="28"/>
        </w:rPr>
        <w:t>Начальник Управления</w:t>
      </w:r>
    </w:p>
    <w:p w:rsidR="00464984" w:rsidRDefault="00464984" w:rsidP="00464984">
      <w:pPr>
        <w:spacing w:line="240" w:lineRule="auto"/>
        <w:ind w:left="17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</w:t>
      </w:r>
      <w:r w:rsidRPr="00464984">
        <w:rPr>
          <w:rFonts w:ascii="Times New Roman" w:hAnsi="Times New Roman" w:cs="Times New Roman"/>
          <w:noProof/>
          <w:sz w:val="28"/>
          <w:szCs w:val="28"/>
        </w:rPr>
        <w:t xml:space="preserve">Здравоохранения  </w:t>
      </w:r>
    </w:p>
    <w:p w:rsidR="00464984" w:rsidRDefault="00464984" w:rsidP="00464984">
      <w:pPr>
        <w:spacing w:line="240" w:lineRule="auto"/>
        <w:ind w:left="17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</w:t>
      </w:r>
      <w:r w:rsidRPr="00464984">
        <w:rPr>
          <w:rFonts w:ascii="Times New Roman" w:hAnsi="Times New Roman" w:cs="Times New Roman"/>
          <w:noProof/>
          <w:sz w:val="28"/>
          <w:szCs w:val="28"/>
        </w:rPr>
        <w:t>Там</w:t>
      </w:r>
      <w:r>
        <w:rPr>
          <w:rFonts w:ascii="Times New Roman" w:hAnsi="Times New Roman" w:cs="Times New Roman"/>
          <w:noProof/>
          <w:sz w:val="28"/>
          <w:szCs w:val="28"/>
        </w:rPr>
        <w:t>бовской области</w:t>
      </w:r>
    </w:p>
    <w:p w:rsidR="00464984" w:rsidRDefault="003A5D2F" w:rsidP="00464984">
      <w:pPr>
        <w:spacing w:line="240" w:lineRule="auto"/>
        <w:ind w:left="17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464984">
        <w:rPr>
          <w:rFonts w:ascii="Times New Roman" w:hAnsi="Times New Roman" w:cs="Times New Roman"/>
          <w:noProof/>
          <w:sz w:val="28"/>
          <w:szCs w:val="28"/>
        </w:rPr>
        <w:t>________М.В. Лапочкина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A5D2F" w:rsidRDefault="003A5D2F" w:rsidP="00D90B21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4984" w:rsidRDefault="00464984" w:rsidP="00D90B21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Тамбовское областное государст</w:t>
      </w:r>
      <w:r w:rsidR="00494AD8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енное бюджетное учреждение здравоохранения «Ракшинский  детский кардиоревматологический санаторий» является областным учреждением здравоохранения, обс</w:t>
      </w:r>
      <w:r w:rsidR="002D71B0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уживает</w:t>
      </w:r>
      <w:r w:rsidR="003A5D2F">
        <w:rPr>
          <w:rFonts w:ascii="Times New Roman" w:hAnsi="Times New Roman" w:cs="Times New Roman"/>
          <w:noProof/>
          <w:sz w:val="28"/>
          <w:szCs w:val="28"/>
        </w:rPr>
        <w:t xml:space="preserve"> детское население Тамбовской области. Санаторий расположен в селе Ракша, Моршанского района в 25 км. от г.Моршанска и в 6 </w:t>
      </w:r>
      <w:r w:rsidR="00494AD8">
        <w:rPr>
          <w:rFonts w:ascii="Times New Roman" w:hAnsi="Times New Roman" w:cs="Times New Roman"/>
          <w:noProof/>
          <w:sz w:val="28"/>
          <w:szCs w:val="28"/>
        </w:rPr>
        <w:t xml:space="preserve">км. от железнодорожной станции </w:t>
      </w:r>
      <w:r w:rsidR="003A5D2F">
        <w:rPr>
          <w:rFonts w:ascii="Times New Roman" w:hAnsi="Times New Roman" w:cs="Times New Roman"/>
          <w:noProof/>
          <w:sz w:val="28"/>
          <w:szCs w:val="28"/>
        </w:rPr>
        <w:t>Ракша.</w:t>
      </w:r>
    </w:p>
    <w:p w:rsidR="00EE318B" w:rsidRDefault="003A5D2F" w:rsidP="00D90B21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Санаторий состоит из 4-х основных зданий  и 7 вспомогательных зданий.</w:t>
      </w:r>
      <w:r w:rsidR="00EE31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Основной  корпус – 635,5 кв.м.</w:t>
      </w:r>
      <w:r w:rsidR="00EE318B">
        <w:rPr>
          <w:rFonts w:ascii="Times New Roman" w:hAnsi="Times New Roman" w:cs="Times New Roman"/>
          <w:noProof/>
          <w:sz w:val="28"/>
          <w:szCs w:val="28"/>
        </w:rPr>
        <w:t xml:space="preserve">, общая площадь земельного участка -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318B">
        <w:rPr>
          <w:rFonts w:ascii="Times New Roman" w:hAnsi="Times New Roman" w:cs="Times New Roman"/>
          <w:noProof/>
          <w:sz w:val="28"/>
          <w:szCs w:val="28"/>
        </w:rPr>
        <w:t xml:space="preserve">19561 кв.м. </w:t>
      </w:r>
      <w:r>
        <w:rPr>
          <w:rFonts w:ascii="Times New Roman" w:hAnsi="Times New Roman" w:cs="Times New Roman"/>
          <w:noProof/>
          <w:sz w:val="28"/>
          <w:szCs w:val="28"/>
        </w:rPr>
        <w:t>Лечебный корпус – 198,</w:t>
      </w:r>
      <w:r w:rsidR="00EE318B">
        <w:rPr>
          <w:rFonts w:ascii="Times New Roman" w:hAnsi="Times New Roman" w:cs="Times New Roman"/>
          <w:noProof/>
          <w:sz w:val="28"/>
          <w:szCs w:val="28"/>
        </w:rPr>
        <w:t>2 кв.м., о</w:t>
      </w:r>
      <w:r>
        <w:rPr>
          <w:rFonts w:ascii="Times New Roman" w:hAnsi="Times New Roman" w:cs="Times New Roman"/>
          <w:noProof/>
          <w:sz w:val="28"/>
          <w:szCs w:val="28"/>
        </w:rPr>
        <w:t>бщая площадь земельного участка – 1740 кв.м. Пищеблок – 91,5 кв.м.  П</w:t>
      </w:r>
      <w:r w:rsidR="00D90B21">
        <w:rPr>
          <w:rFonts w:ascii="Times New Roman" w:hAnsi="Times New Roman" w:cs="Times New Roman"/>
          <w:noProof/>
          <w:sz w:val="28"/>
          <w:szCs w:val="28"/>
        </w:rPr>
        <w:t xml:space="preserve">рачечная и гараж на 2 автомобиля  общей площадью 95,9 кв.м. Имеется в наличие овощехранилище – 30 кв.м. Склад для </w:t>
      </w:r>
      <w:r w:rsidR="00EE318B">
        <w:rPr>
          <w:rFonts w:ascii="Times New Roman" w:hAnsi="Times New Roman" w:cs="Times New Roman"/>
          <w:noProof/>
          <w:sz w:val="28"/>
          <w:szCs w:val="28"/>
        </w:rPr>
        <w:t>мягкого инвентаря, склад для хозяйственного инвентаря – 21,3 кв.м.  Гараж для грузового автомобиля – 30,6 кв.м.  Склад для твердого топлива, гараж – 96 кв.м. Баня – 23,5 кв.м. Модульная котельная с тремя котлами «Дует» - 23,6 кв.м.  Дизельная станция – 18,2 кв.м.</w:t>
      </w:r>
    </w:p>
    <w:p w:rsidR="003A5D2F" w:rsidRDefault="00EE318B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Площадь территории -  21301 кв.м., из них парковая зона – 18537,80 кв.м.</w:t>
      </w:r>
      <w:r w:rsidR="00DB72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50% общей площади озелена</w:t>
      </w:r>
      <w:r w:rsidR="00DB7232">
        <w:rPr>
          <w:rFonts w:ascii="Times New Roman" w:hAnsi="Times New Roman" w:cs="Times New Roman"/>
          <w:noProof/>
          <w:sz w:val="28"/>
          <w:szCs w:val="28"/>
        </w:rPr>
        <w:t>, 20% общей площади занято  двумя детскими игровыми площадками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7232">
        <w:rPr>
          <w:rFonts w:ascii="Times New Roman" w:hAnsi="Times New Roman" w:cs="Times New Roman"/>
          <w:noProof/>
          <w:sz w:val="28"/>
          <w:szCs w:val="28"/>
        </w:rPr>
        <w:t>. Первая для детей младшего возраста от 5 до 10 лет, вторая для детей старшего возраста от 11 до 14 лет.</w:t>
      </w:r>
    </w:p>
    <w:p w:rsidR="00DB7232" w:rsidRDefault="00DB7232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Учебный процесс в санатории представлен 4 классами, где проводится обучение детей преподавателями Ракшинской средней школы – 4 смешанных класс-комплекта.</w:t>
      </w:r>
    </w:p>
    <w:p w:rsidR="00DB7232" w:rsidRDefault="00DB7232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Палатная площадь основного корпуса составляет 234 кв.м или 4,69 кв.м на одного ребенка, при норме 4-6 кв.м. В санатории 17 палат на 3 койки, 2 изолятора на 5 человек, 2 игровых комнаты общей площадью 56 кв.м.</w:t>
      </w:r>
    </w:p>
    <w:p w:rsidR="00DB7232" w:rsidRDefault="00DB7232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ТОГБУЗ «Ракшинский детский кардиоревматологи</w:t>
      </w:r>
      <w:r w:rsidR="00F04389">
        <w:rPr>
          <w:rFonts w:ascii="Times New Roman" w:hAnsi="Times New Roman" w:cs="Times New Roman"/>
          <w:noProof/>
          <w:sz w:val="28"/>
          <w:szCs w:val="28"/>
        </w:rPr>
        <w:t>ческий санаторий» имеет лицензии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 ФС-6801000368 от 14 апреля 2011 года, ФС -6801000390 от 10 марта 2011 года , выда</w:t>
      </w:r>
      <w:r w:rsidR="00494AD8">
        <w:rPr>
          <w:rFonts w:ascii="Times New Roman" w:hAnsi="Times New Roman" w:cs="Times New Roman"/>
          <w:noProof/>
          <w:sz w:val="28"/>
          <w:szCs w:val="28"/>
        </w:rPr>
        <w:t>нные федеральной службой в сфере здравоохранения и социального развития.</w:t>
      </w:r>
    </w:p>
    <w:p w:rsidR="002D71B0" w:rsidRDefault="00494AD8" w:rsidP="002D71B0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Штат «Ракшинского детского кардиоревматологического санатория» за истекший период менялся и в настоящее время </w:t>
      </w:r>
      <w:r w:rsidR="00171F3C">
        <w:rPr>
          <w:rFonts w:ascii="Times New Roman" w:hAnsi="Times New Roman" w:cs="Times New Roman"/>
          <w:noProof/>
          <w:sz w:val="28"/>
          <w:szCs w:val="28"/>
        </w:rPr>
        <w:t xml:space="preserve">составляет 44,0 шт.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единицы, в том числе врачебные должности – 1,5</w:t>
      </w:r>
      <w:r w:rsidR="00171F3C">
        <w:rPr>
          <w:rFonts w:ascii="Times New Roman" w:hAnsi="Times New Roman" w:cs="Times New Roman"/>
          <w:noProof/>
          <w:sz w:val="28"/>
          <w:szCs w:val="28"/>
        </w:rPr>
        <w:t xml:space="preserve"> шт.ед.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из них 1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физическое лицо, укомплектован 100%. Врачи имеют сертификаты специалиста.</w:t>
      </w:r>
      <w:r w:rsidR="00171F3C">
        <w:rPr>
          <w:rFonts w:ascii="Times New Roman" w:hAnsi="Times New Roman" w:cs="Times New Roman"/>
          <w:noProof/>
          <w:sz w:val="28"/>
          <w:szCs w:val="28"/>
        </w:rPr>
        <w:t xml:space="preserve">  Средний  медицинский персонал 12,75 шт. ед., из них физических лиц 9, укомплектованы 70,5 %. Один медицинский работник работает по внешнему совместительству. Все медицинские работники имеют сертификаты специалистов. Первую категорию имеет один человек. Педагогический</w:t>
      </w:r>
      <w:r w:rsidR="00171F3C">
        <w:rPr>
          <w:rFonts w:ascii="Times New Roman" w:hAnsi="Times New Roman" w:cs="Times New Roman"/>
          <w:noProof/>
          <w:sz w:val="28"/>
          <w:szCs w:val="28"/>
        </w:rPr>
        <w:tab/>
        <w:t xml:space="preserve"> персонал 4,5 шт.единицы – 4 физических лица и 1 внешний совместитель.</w:t>
      </w:r>
      <w:r w:rsidR="00F765FE">
        <w:rPr>
          <w:rFonts w:ascii="Times New Roman" w:hAnsi="Times New Roman" w:cs="Times New Roman"/>
          <w:noProof/>
          <w:sz w:val="28"/>
          <w:szCs w:val="28"/>
        </w:rPr>
        <w:t xml:space="preserve"> Младший медицинский персонал 5,25 шт.ед. Прочие 23,5 шт.ед</w:t>
      </w:r>
      <w:r w:rsidR="002D71B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D71B0" w:rsidRDefault="002D71B0" w:rsidP="002D71B0">
      <w:pPr>
        <w:spacing w:line="240" w:lineRule="auto"/>
        <w:ind w:left="17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Штаты:</w:t>
      </w:r>
    </w:p>
    <w:p w:rsidR="002D71B0" w:rsidRDefault="002D71B0" w:rsidP="002D71B0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2011 год                              2012 год                             2013 год</w:t>
      </w:r>
    </w:p>
    <w:p w:rsidR="002D71B0" w:rsidRDefault="002D71B0" w:rsidP="002D71B0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46 шт.ед.                              44 шт.ед.                            44 шт.ед.</w:t>
      </w:r>
    </w:p>
    <w:p w:rsidR="00494AD8" w:rsidRDefault="00494AD8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1F3C" w:rsidRDefault="00171F3C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Госпитализировались дети в летний период </w:t>
      </w:r>
      <w:r w:rsidR="002215B4">
        <w:rPr>
          <w:rFonts w:ascii="Times New Roman" w:hAnsi="Times New Roman" w:cs="Times New Roman"/>
          <w:noProof/>
          <w:sz w:val="28"/>
          <w:szCs w:val="28"/>
        </w:rPr>
        <w:t xml:space="preserve"> с 7 до 17 лет, в зимний-осенний период с 7 до 17 лет. Курс лечения 14 смен, из них 10 смен по 24 дня в учебный период, в летний период 4 смены по 21 дню. Лечение бесплатное, финансируется содержание ТОГБУЗ «Ракшинский детский кардиоревматологический санаторий» за счет средств областного бюджета. Кроме того, за истекший период принималисьдети на платной основе.</w:t>
      </w:r>
    </w:p>
    <w:p w:rsidR="002215B4" w:rsidRDefault="002215B4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Питание детей пятиразовое по нормам питания, согласно приказа Министерства здравоохранения РФ № 330 от 5 августа 2013 года.</w:t>
      </w:r>
    </w:p>
    <w:p w:rsidR="00F765FE" w:rsidRDefault="00F765FE" w:rsidP="00F765FE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период лечения дети обучались по школьной программе в зависимости от состояния здоровья.</w:t>
      </w:r>
    </w:p>
    <w:p w:rsidR="00E37020" w:rsidRDefault="00E37020" w:rsidP="00C03164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ТОГБУЗ «Ракшинский детский кардиоревматологический санаторий» представлен  2 корпусами, где проходят различные  лечебные процедуры. В основном корпусе расположен кабинет физиотерапии. Кабинет оснащен</w:t>
      </w:r>
      <w:r w:rsidR="00C03164">
        <w:rPr>
          <w:rFonts w:ascii="Times New Roman" w:hAnsi="Times New Roman" w:cs="Times New Roman"/>
          <w:noProof/>
          <w:sz w:val="28"/>
          <w:szCs w:val="28"/>
        </w:rPr>
        <w:t xml:space="preserve"> электропроцедурами, ингаляторий на 8 посадочных мест. Бальнеологический  кабинет оснащен 4 бальн</w:t>
      </w:r>
      <w:r w:rsidR="00804927">
        <w:rPr>
          <w:rFonts w:ascii="Times New Roman" w:hAnsi="Times New Roman" w:cs="Times New Roman"/>
          <w:noProof/>
          <w:sz w:val="28"/>
          <w:szCs w:val="28"/>
        </w:rPr>
        <w:t>еологические ванны, гидромассаж</w:t>
      </w:r>
      <w:r w:rsidR="00C03164">
        <w:rPr>
          <w:rFonts w:ascii="Times New Roman" w:hAnsi="Times New Roman" w:cs="Times New Roman"/>
          <w:noProof/>
          <w:sz w:val="28"/>
          <w:szCs w:val="28"/>
        </w:rPr>
        <w:t>ные ванны, жемчужные ванны для использования солей, аэрогидромассажная ванна для  нижних конечностей</w:t>
      </w:r>
      <w:r w:rsidR="009F6067">
        <w:rPr>
          <w:rFonts w:ascii="Times New Roman" w:hAnsi="Times New Roman" w:cs="Times New Roman"/>
          <w:noProof/>
          <w:sz w:val="28"/>
          <w:szCs w:val="28"/>
        </w:rPr>
        <w:t>. Аромофитобар представлен кислородотерапией и набором фиточая при различных заболеваниях.</w:t>
      </w:r>
    </w:p>
    <w:p w:rsidR="00804927" w:rsidRDefault="00C03164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Второй лечебный корпус оснаще</w:t>
      </w:r>
      <w:r w:rsidR="009F6067">
        <w:rPr>
          <w:rFonts w:ascii="Times New Roman" w:hAnsi="Times New Roman" w:cs="Times New Roman"/>
          <w:noProof/>
          <w:sz w:val="28"/>
          <w:szCs w:val="28"/>
        </w:rPr>
        <w:t>н: зал ЛФК;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тренажер</w:t>
      </w:r>
      <w:r w:rsidR="009F6067">
        <w:rPr>
          <w:rFonts w:ascii="Times New Roman" w:hAnsi="Times New Roman" w:cs="Times New Roman"/>
          <w:noProof/>
          <w:sz w:val="28"/>
          <w:szCs w:val="28"/>
        </w:rPr>
        <w:t>ный зал, теплогрязелечебница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6 мест</w:t>
      </w:r>
      <w:r w:rsidR="009F6067">
        <w:rPr>
          <w:rFonts w:ascii="Times New Roman" w:hAnsi="Times New Roman" w:cs="Times New Roman"/>
          <w:noProof/>
          <w:sz w:val="28"/>
          <w:szCs w:val="28"/>
        </w:rPr>
        <w:t xml:space="preserve"> представлена : электрофорез с пеллоидом в виде аппликации, парафино и озокеритолечения; </w:t>
      </w:r>
      <w:r>
        <w:rPr>
          <w:rFonts w:ascii="Times New Roman" w:hAnsi="Times New Roman" w:cs="Times New Roman"/>
          <w:noProof/>
          <w:sz w:val="28"/>
          <w:szCs w:val="28"/>
        </w:rPr>
        <w:t>кабинет гипоксетерапии на 4 посад</w:t>
      </w:r>
      <w:r w:rsidR="009F6067">
        <w:rPr>
          <w:rFonts w:ascii="Times New Roman" w:hAnsi="Times New Roman" w:cs="Times New Roman"/>
          <w:noProof/>
          <w:sz w:val="28"/>
          <w:szCs w:val="28"/>
        </w:rPr>
        <w:t>очных места;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кабинет аромофитолечения на 12 посадочных мест</w:t>
      </w:r>
      <w:r w:rsidR="009F6067">
        <w:rPr>
          <w:rFonts w:ascii="Times New Roman" w:hAnsi="Times New Roman" w:cs="Times New Roman"/>
          <w:noProof/>
          <w:sz w:val="28"/>
          <w:szCs w:val="28"/>
        </w:rPr>
        <w:t>;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кабинет спе</w:t>
      </w:r>
      <w:r w:rsidR="009F6067">
        <w:rPr>
          <w:rFonts w:ascii="Times New Roman" w:hAnsi="Times New Roman" w:cs="Times New Roman"/>
          <w:noProof/>
          <w:sz w:val="28"/>
          <w:szCs w:val="28"/>
        </w:rPr>
        <w:t>лиотерапии на 6 посадочных мест;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кабинет э</w:t>
      </w:r>
      <w:r w:rsidR="009F6067">
        <w:rPr>
          <w:rFonts w:ascii="Times New Roman" w:hAnsi="Times New Roman" w:cs="Times New Roman"/>
          <w:noProof/>
          <w:sz w:val="28"/>
          <w:szCs w:val="28"/>
        </w:rPr>
        <w:t>лектромассажа и ручного массажа;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кабинет детензер</w:t>
      </w:r>
      <w:r w:rsidR="009F6067">
        <w:rPr>
          <w:rFonts w:ascii="Times New Roman" w:hAnsi="Times New Roman" w:cs="Times New Roman"/>
          <w:noProof/>
          <w:sz w:val="28"/>
          <w:szCs w:val="28"/>
        </w:rPr>
        <w:t>отерапии на 4 человека;</w:t>
      </w:r>
      <w:r w:rsidR="002C577B">
        <w:rPr>
          <w:rFonts w:ascii="Times New Roman" w:hAnsi="Times New Roman" w:cs="Times New Roman"/>
          <w:noProof/>
          <w:sz w:val="28"/>
          <w:szCs w:val="28"/>
        </w:rPr>
        <w:t xml:space="preserve"> свин</w:t>
      </w:r>
      <w:r w:rsidR="009F6067">
        <w:rPr>
          <w:rFonts w:ascii="Times New Roman" w:hAnsi="Times New Roman" w:cs="Times New Roman"/>
          <w:noProof/>
          <w:sz w:val="28"/>
          <w:szCs w:val="28"/>
        </w:rPr>
        <w:t>г</w:t>
      </w:r>
      <w:r w:rsidR="002C577B">
        <w:rPr>
          <w:rFonts w:ascii="Times New Roman" w:hAnsi="Times New Roman" w:cs="Times New Roman"/>
          <w:noProof/>
          <w:sz w:val="28"/>
          <w:szCs w:val="28"/>
        </w:rPr>
        <w:t>массаж на 3 места. Лечебные процедуры проводятся с 8:00 до 15:00 в два потока. Каждый ребенок в зависимости от заболевания получает лечение основного заболевания и сопутствующего забо</w:t>
      </w:r>
      <w:r w:rsidR="009F6067">
        <w:rPr>
          <w:rFonts w:ascii="Times New Roman" w:hAnsi="Times New Roman" w:cs="Times New Roman"/>
          <w:noProof/>
          <w:sz w:val="28"/>
          <w:szCs w:val="28"/>
        </w:rPr>
        <w:t>л</w:t>
      </w:r>
      <w:r w:rsidR="002C577B">
        <w:rPr>
          <w:rFonts w:ascii="Times New Roman" w:hAnsi="Times New Roman" w:cs="Times New Roman"/>
          <w:noProof/>
          <w:sz w:val="28"/>
          <w:szCs w:val="28"/>
        </w:rPr>
        <w:t>евания.</w:t>
      </w:r>
      <w:r w:rsidR="00804927" w:rsidRPr="008049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Функциональная  диагностика: </w:t>
      </w:r>
      <w:r w:rsidR="00804927">
        <w:rPr>
          <w:rFonts w:ascii="Times New Roman CYR" w:hAnsi="Times New Roman CYR" w:cs="Times New Roman CYR"/>
          <w:sz w:val="28"/>
          <w:szCs w:val="28"/>
        </w:rPr>
        <w:lastRenderedPageBreak/>
        <w:t>проводится  измерение   веса,  роста, мышечного   тонуса.  спирометрия, электрокардиография.</w:t>
      </w:r>
    </w:p>
    <w:p w:rsidR="00C03164" w:rsidRDefault="00C03164" w:rsidP="00C03164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   истекшие  3  года  получили  лечение  дети  из  всех  районов  Тамбовской  области.</w:t>
      </w:r>
    </w:p>
    <w:tbl>
      <w:tblPr>
        <w:tblW w:w="0" w:type="auto"/>
        <w:tblInd w:w="108" w:type="dxa"/>
        <w:tblLayout w:type="fixed"/>
        <w:tblLook w:val="0000"/>
      </w:tblPr>
      <w:tblGrid>
        <w:gridCol w:w="2943"/>
        <w:gridCol w:w="2268"/>
        <w:gridCol w:w="2268"/>
        <w:gridCol w:w="2092"/>
      </w:tblGrid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р-на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     2011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Г.Тамбов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176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139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Тамбовский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Г.Мичуринск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29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Мичуринский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Г.Рассказово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Рассказовский 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Г.Моршанск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159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186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Моршанский  ройон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Г.Котовск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Г.Кирсанов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Петровский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Никифоровский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Токаревский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Уваровский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Ржаксинский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Мордовский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Сампурский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Знаменский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Инжавинский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Сосновский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Мучкапский 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Пичаевский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Староюрьевский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Первомайский 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Бондарский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Жердевский  район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04927" w:rsidTr="009F164B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04927" w:rsidTr="009F164B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 инвалиды    </w:t>
      </w:r>
    </w:p>
    <w:tbl>
      <w:tblPr>
        <w:tblW w:w="9571" w:type="dxa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804927" w:rsidTr="002C5E22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2C5E22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14</w:t>
            </w:r>
            <w:r>
              <w:rPr>
                <w:rFonts w:ascii="Calibri" w:hAnsi="Calibri" w:cs="Calibri"/>
                <w:sz w:val="28"/>
                <w:szCs w:val="28"/>
              </w:rPr>
              <w:t>человек-1,94%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Calibri" w:hAnsi="Calibri" w:cs="Calibri"/>
                <w:sz w:val="28"/>
                <w:szCs w:val="28"/>
              </w:rPr>
              <w:t>человек-1,98%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12</w:t>
            </w:r>
            <w:r>
              <w:rPr>
                <w:rFonts w:ascii="Calibri" w:hAnsi="Calibri" w:cs="Calibri"/>
                <w:sz w:val="28"/>
                <w:szCs w:val="28"/>
              </w:rPr>
              <w:t>человек-1,63%</w:t>
            </w:r>
          </w:p>
        </w:tc>
      </w:tr>
    </w:tbl>
    <w:p w:rsidR="002C5E22" w:rsidRDefault="002C5E22" w:rsidP="002C5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389" w:rsidRDefault="00F04389" w:rsidP="002C5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389" w:rsidRPr="00386C55" w:rsidRDefault="00F04389" w:rsidP="002C5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22" w:rsidRDefault="002C5E22" w:rsidP="002C5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C55">
        <w:rPr>
          <w:rFonts w:ascii="Times New Roman" w:hAnsi="Times New Roman"/>
          <w:sz w:val="28"/>
          <w:szCs w:val="28"/>
        </w:rPr>
        <w:lastRenderedPageBreak/>
        <w:t xml:space="preserve">Соотношение бюджетных 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2C5E22" w:rsidRPr="00386C55" w:rsidRDefault="002C5E22" w:rsidP="002C5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C55">
        <w:rPr>
          <w:rFonts w:ascii="Times New Roman" w:hAnsi="Times New Roman"/>
          <w:sz w:val="28"/>
          <w:szCs w:val="28"/>
        </w:rPr>
        <w:t>внебюджетных путевок</w:t>
      </w:r>
    </w:p>
    <w:p w:rsidR="002C5E22" w:rsidRPr="00386C55" w:rsidRDefault="002C5E22" w:rsidP="002C5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22" w:rsidRDefault="002C5E22" w:rsidP="002C5E22">
      <w:r>
        <w:rPr>
          <w:noProof/>
        </w:rPr>
        <w:drawing>
          <wp:inline distT="0" distB="0" distL="0" distR="0">
            <wp:extent cx="5937758" cy="3402017"/>
            <wp:effectExtent l="12192" t="6096" r="3175" b="1837"/>
            <wp:docPr id="3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E22" w:rsidRDefault="002C5E22" w:rsidP="002C5E22">
      <w:pPr>
        <w:jc w:val="center"/>
        <w:rPr>
          <w:rFonts w:ascii="Times New Roman" w:hAnsi="Times New Roman"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sz w:val="28"/>
          <w:szCs w:val="28"/>
        </w:rPr>
      </w:pPr>
      <w:r w:rsidRPr="003507FF">
        <w:rPr>
          <w:rFonts w:ascii="Times New Roman" w:hAnsi="Times New Roman"/>
          <w:sz w:val="28"/>
          <w:szCs w:val="28"/>
        </w:rPr>
        <w:t>Процентное соотношение путевок в 2011 году</w:t>
      </w: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4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Процентное соотношение путевок в 2012году</w:t>
      </w:r>
    </w:p>
    <w:p w:rsidR="002C5E22" w:rsidRPr="003507FF" w:rsidRDefault="002C5E22" w:rsidP="002C5E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4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5E22" w:rsidRDefault="002C5E22" w:rsidP="002C5E22">
      <w:pPr>
        <w:rPr>
          <w:rFonts w:ascii="Times New Roman" w:hAnsi="Times New Roman"/>
          <w:sz w:val="28"/>
          <w:szCs w:val="28"/>
        </w:rPr>
      </w:pPr>
    </w:p>
    <w:p w:rsidR="002C5E22" w:rsidRDefault="002C5E22" w:rsidP="002C5E22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Процентное соотношение путевок в 2013году</w:t>
      </w:r>
    </w:p>
    <w:p w:rsidR="002C5E22" w:rsidRPr="003507FF" w:rsidRDefault="002C5E22" w:rsidP="002C5E22">
      <w:pPr>
        <w:jc w:val="center"/>
        <w:rPr>
          <w:rFonts w:ascii="Times New Roman" w:hAnsi="Times New Roman"/>
          <w:sz w:val="28"/>
          <w:szCs w:val="28"/>
        </w:rPr>
      </w:pPr>
    </w:p>
    <w:p w:rsidR="002C5E22" w:rsidRPr="003507FF" w:rsidRDefault="002C5E22" w:rsidP="002C5E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4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89" w:rsidRPr="00F04389" w:rsidRDefault="00F04389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Процентное  соотношение  путевок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Бюджетные  путевки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86,17%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92,9%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93,2%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Внебюджетные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путевки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путевок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13,83%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Calibri" w:hAnsi="Calibri" w:cs="Calibri"/>
                <w:sz w:val="28"/>
                <w:szCs w:val="28"/>
              </w:rPr>
              <w:t>путевок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7,1%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Calibri" w:hAnsi="Calibri" w:cs="Calibri"/>
                <w:sz w:val="28"/>
                <w:szCs w:val="28"/>
              </w:rPr>
              <w:t>путевок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6,8%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 койко-дней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5"/>
        <w:gridCol w:w="2409"/>
        <w:gridCol w:w="2268"/>
        <w:gridCol w:w="2410"/>
      </w:tblGrid>
      <w:tr w:rsidR="00804927" w:rsidTr="009F164B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14237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14359</w:t>
            </w:r>
          </w:p>
        </w:tc>
      </w:tr>
      <w:tr w:rsidR="00804927" w:rsidTr="009F164B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89%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99%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95,99%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 койки в  году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315,9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89%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99%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95,9%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 лечения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680-94%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692-98,16%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721-98,1%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перемен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43-6%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13-1,84%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16-1,9%</w:t>
            </w:r>
          </w:p>
        </w:tc>
      </w:tr>
      <w:tr w:rsidR="00804927" w:rsidTr="009F164B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Ухудшение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28"/>
        <w:gridCol w:w="1031"/>
        <w:gridCol w:w="1199"/>
        <w:gridCol w:w="1141"/>
        <w:gridCol w:w="1088"/>
        <w:gridCol w:w="1030"/>
        <w:gridCol w:w="1054"/>
      </w:tblGrid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 ноозоологиям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723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человека</w:t>
            </w: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705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737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человек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Хронический тонзиллит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23,3%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26,1%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21,7%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ВСД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24,97%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ВПС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1,14%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1,23%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Функцион.кардиопатия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21,8%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22,13%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Бронхиальная астма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0,29%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0,28%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ПМК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4,26%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4,35%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ЧДБ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5,11%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1,63%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Инфекционно-аллергический полиартрит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Ревматический  артрит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0,71%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1,09%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Нарушение  осанки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15,7%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5,54%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Малая аномалия развития сердца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0,71%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Рецидивирующий  бронхит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7,88%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Распираторный аллергоз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1,63%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Язвенная болезнь  12  кишки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04927" w:rsidTr="009F164B">
        <w:trPr>
          <w:trHeight w:val="455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Миопия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Задержка  психического развития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0,14%</w:t>
            </w: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Эпилепсия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Логоневроз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0,15%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04927" w:rsidTr="009F164B">
        <w:trPr>
          <w:trHeight w:val="1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Травма позвоночника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0,15%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804927" w:rsidRPr="00F04389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27" w:rsidRDefault="00F04389" w:rsidP="00F0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389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оздоровления.</w:t>
      </w:r>
    </w:p>
    <w:p w:rsidR="00F04389" w:rsidRDefault="00F04389" w:rsidP="00F0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652"/>
        <w:gridCol w:w="2126"/>
        <w:gridCol w:w="1985"/>
        <w:gridCol w:w="1807"/>
      </w:tblGrid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физическому развитию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2.Рост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3.Индекс Кетли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 физическому состоянию (ортостатическая проба)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5.Проба Генча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6.Спирометрия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41,8%</w:t>
            </w: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40,3%</w:t>
            </w: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7.Физическая работоспособность (динамометрия)</w:t>
            </w: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улучшением</w:t>
            </w:r>
          </w:p>
        </w:tc>
        <w:tc>
          <w:tcPr>
            <w:tcW w:w="2126" w:type="dxa"/>
          </w:tcPr>
          <w:p w:rsidR="00F04389" w:rsidRDefault="009A7A31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985" w:type="dxa"/>
          </w:tcPr>
          <w:p w:rsidR="00F04389" w:rsidRDefault="009A7A31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52,2%</w:t>
            </w:r>
          </w:p>
        </w:tc>
        <w:tc>
          <w:tcPr>
            <w:tcW w:w="1807" w:type="dxa"/>
          </w:tcPr>
          <w:p w:rsidR="00F04389" w:rsidRDefault="009A7A31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перемен</w:t>
            </w:r>
          </w:p>
        </w:tc>
        <w:tc>
          <w:tcPr>
            <w:tcW w:w="2126" w:type="dxa"/>
          </w:tcPr>
          <w:p w:rsidR="00F04389" w:rsidRDefault="009A7A31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985" w:type="dxa"/>
          </w:tcPr>
          <w:p w:rsidR="00F04389" w:rsidRDefault="009A7A31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  <w:tc>
          <w:tcPr>
            <w:tcW w:w="1807" w:type="dxa"/>
          </w:tcPr>
          <w:p w:rsidR="00F04389" w:rsidRDefault="009A7A31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</w:tr>
      <w:tr w:rsidR="00F04389" w:rsidTr="00F04389">
        <w:tc>
          <w:tcPr>
            <w:tcW w:w="3652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04389" w:rsidRDefault="00F04389" w:rsidP="00F04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389" w:rsidRPr="00F04389" w:rsidRDefault="00F04389" w:rsidP="00F0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927" w:rsidRPr="00F04389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04927">
        <w:rPr>
          <w:rFonts w:ascii="Times New Roman CYR" w:hAnsi="Times New Roman CYR" w:cs="Times New Roman CYR"/>
          <w:sz w:val="28"/>
          <w:szCs w:val="28"/>
        </w:rPr>
        <w:t>Эффект  оздоровления  детей   расценивается  как   выраженный  оздоровительный ,  так  как более  50% тестов имеют  положительную  динамику.  Оздоровительный  эффект  пребывания имеет положительную  динамику  роста в  сравнении  2011года  к 2013 г.   в  процентном  отношении  в  среднем на  3,08%.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Проведено  процедур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992"/>
        <w:gridCol w:w="1105"/>
        <w:gridCol w:w="1203"/>
        <w:gridCol w:w="1041"/>
        <w:gridCol w:w="1116"/>
        <w:gridCol w:w="1029"/>
      </w:tblGrid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Процед.пр.ед   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Процед.Пр.ед.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2013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Процед.пр.ед   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Физиотерапевтические</w:t>
            </w:r>
          </w:p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процедуры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10196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25620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76080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17113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20055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Бальнеологическое лечение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9126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4497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9118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6887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13946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Гидромассаж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1480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556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Теплогрязелечение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1682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4981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Лечебная  физкультура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1029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365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1095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Медицинский  массаж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4169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9187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9538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Кислородный  коктейль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737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Фиточай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737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Детензоротерапия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4120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1059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Свинг массаж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1047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Спелеотерапия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Аромофитолечение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1365</w:t>
            </w:r>
          </w:p>
        </w:tc>
      </w:tr>
      <w:tr w:rsidR="00804927" w:rsidTr="009F164B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Электромасаж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</w:t>
            </w:r>
          </w:p>
        </w:tc>
      </w:tr>
    </w:tbl>
    <w:p w:rsidR="00804927" w:rsidRP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Фактическая  стоимость питания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2125"/>
        <w:gridCol w:w="2393"/>
        <w:gridCol w:w="2393"/>
      </w:tblGrid>
      <w:tr w:rsidR="00804927" w:rsidTr="009F164B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 бюджету (руб)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804927" w:rsidTr="009F164B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платным  услугам( руб)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Медикаментозное  лечение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2125"/>
        <w:gridCol w:w="2393"/>
        <w:gridCol w:w="2393"/>
      </w:tblGrid>
      <w:tr w:rsidR="00804927" w:rsidTr="009F164B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2013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Pr="00477B02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Фактическая  ст-ть в руб.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8,0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9,05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Суммарный    охват    больных  детей   физиотерапевтическими  методами  лечения  за  истекшие  3  года   составил  100 %( норма  для  санаториев  50-70%) Ежегодно  вводятся новые  современные  методы  лечения. </w:t>
      </w: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804927">
        <w:rPr>
          <w:rFonts w:ascii="Calibri" w:hAnsi="Calibri" w:cs="Calibri"/>
          <w:sz w:val="28"/>
          <w:szCs w:val="28"/>
        </w:rPr>
        <w:t xml:space="preserve">В 2011 году  приобретены: ванна бальнеологическая </w:t>
      </w:r>
      <w:r w:rsidR="00804927" w:rsidRPr="00477B02">
        <w:rPr>
          <w:rFonts w:ascii="Calibri" w:hAnsi="Calibri" w:cs="Calibri"/>
          <w:sz w:val="28"/>
          <w:szCs w:val="28"/>
        </w:rPr>
        <w:t>«</w:t>
      </w:r>
      <w:r w:rsidR="00804927">
        <w:rPr>
          <w:rFonts w:ascii="Calibri" w:hAnsi="Calibri" w:cs="Calibri"/>
          <w:sz w:val="28"/>
          <w:szCs w:val="28"/>
        </w:rPr>
        <w:t>Оккервиль</w:t>
      </w:r>
      <w:r w:rsidR="00804927" w:rsidRPr="00477B02">
        <w:rPr>
          <w:rFonts w:ascii="Calibri" w:hAnsi="Calibri" w:cs="Calibri"/>
          <w:sz w:val="28"/>
          <w:szCs w:val="28"/>
        </w:rPr>
        <w:t xml:space="preserve">»-2 </w:t>
      </w:r>
      <w:r w:rsidR="00804927">
        <w:rPr>
          <w:rFonts w:ascii="Calibri" w:hAnsi="Calibri" w:cs="Calibri"/>
          <w:sz w:val="28"/>
          <w:szCs w:val="28"/>
        </w:rPr>
        <w:t xml:space="preserve">шт, </w:t>
      </w:r>
      <w:r w:rsidR="00804927">
        <w:rPr>
          <w:rFonts w:ascii="Calibri" w:hAnsi="Calibri" w:cs="Calibri"/>
          <w:sz w:val="28"/>
          <w:szCs w:val="28"/>
        </w:rPr>
        <w:lastRenderedPageBreak/>
        <w:t xml:space="preserve">ванна бальнеологическая с гидромассажем </w:t>
      </w:r>
      <w:r w:rsidR="00804927" w:rsidRPr="00477B02">
        <w:rPr>
          <w:rFonts w:ascii="Calibri" w:hAnsi="Calibri" w:cs="Calibri"/>
          <w:sz w:val="28"/>
          <w:szCs w:val="28"/>
        </w:rPr>
        <w:t>«</w:t>
      </w:r>
      <w:r w:rsidR="00804927">
        <w:rPr>
          <w:rFonts w:ascii="Calibri" w:hAnsi="Calibri" w:cs="Calibri"/>
          <w:sz w:val="28"/>
          <w:szCs w:val="28"/>
        </w:rPr>
        <w:t>Оккервиль</w:t>
      </w:r>
      <w:r w:rsidR="00804927" w:rsidRPr="00477B02">
        <w:rPr>
          <w:rFonts w:ascii="Calibri" w:hAnsi="Calibri" w:cs="Calibri"/>
          <w:sz w:val="28"/>
          <w:szCs w:val="28"/>
        </w:rPr>
        <w:t xml:space="preserve">»-1 </w:t>
      </w:r>
      <w:r w:rsidR="00804927">
        <w:rPr>
          <w:rFonts w:ascii="Calibri" w:hAnsi="Calibri" w:cs="Calibri"/>
          <w:sz w:val="28"/>
          <w:szCs w:val="28"/>
        </w:rPr>
        <w:t>шт, установка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77B02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Горный  воздух</w:t>
      </w:r>
      <w:r w:rsidRPr="00477B02">
        <w:rPr>
          <w:rFonts w:ascii="Calibri" w:hAnsi="Calibri" w:cs="Calibri"/>
          <w:sz w:val="28"/>
          <w:szCs w:val="28"/>
        </w:rPr>
        <w:t xml:space="preserve">» -1 </w:t>
      </w:r>
      <w:r>
        <w:rPr>
          <w:rFonts w:ascii="Calibri" w:hAnsi="Calibri" w:cs="Calibri"/>
          <w:sz w:val="28"/>
          <w:szCs w:val="28"/>
        </w:rPr>
        <w:t>шт,Концентратор  кислородный 7FЗА-1 шт, Свинг машина ДS 089-1 шт ,Изготовлен  проект  на новый  лечебный  корпус.</w:t>
      </w: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В 2012 году приобретены за счет платных  услуг: 2 аппарата электросна, ингалятор Галонеб, свингмассаж -2 шт, беговая  дорожка,  прочий хозяйственный  инвентарь: триммер, снегоуборочная машина, пылесос промышленный- 2 шт, сплит системы-2 шт, гараж металлический, игровая  площадка, морозильный  ларь. 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программе   модернизации  получено  оборудование  на  общую сумму 901605,54 рублей:</w:t>
      </w:r>
    </w:p>
    <w:p w:rsidR="00804927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Автомобиль  Газель, спирометр  компьютерный, 2  аппарата  для  физио процедур, активное  сетевое  оборудование, комплект компьютерной техники : 2 принтера и один персональный компьютер в  сборе. 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2013 году приобретены за счет платных услуг соляная пещера,аэрогидромассаж н/конечностей, детская мебель, морозильный ларь, пылесосы производственные,2 ингаллятора ультрозвуковых.</w:t>
      </w: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Кассовые  расходы   по  бюджету</w:t>
      </w: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7"/>
        <w:gridCol w:w="1985"/>
        <w:gridCol w:w="1843"/>
        <w:gridCol w:w="1666"/>
      </w:tblGrid>
      <w:tr w:rsidR="00804927" w:rsidTr="009F164B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2012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2013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Кассовые  расходы  всего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11647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11605</w:t>
            </w:r>
          </w:p>
        </w:tc>
      </w:tr>
      <w:tr w:rsidR="00804927" w:rsidTr="009F164B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Pr="00477B02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т.ч.заработная  плата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4507,8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4604,4</w:t>
            </w:r>
          </w:p>
        </w:tc>
      </w:tr>
      <w:tr w:rsidR="00804927" w:rsidTr="009F164B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 зарплата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12,2</w:t>
            </w:r>
          </w:p>
        </w:tc>
      </w:tr>
    </w:tbl>
    <w:p w:rsidR="002C5E22" w:rsidRDefault="002C5E22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4927" w:rsidRDefault="00804927" w:rsidP="002C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   средств  на  приобретение  медоборудования  и  твердого  инвентаря ( тыс.руб)</w:t>
      </w: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804927" w:rsidTr="009F164B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2011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год</w:t>
            </w:r>
          </w:p>
        </w:tc>
      </w:tr>
      <w:tr w:rsidR="00804927" w:rsidTr="009F164B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1328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525,64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27" w:rsidRDefault="00804927" w:rsidP="0080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624</w:t>
            </w:r>
          </w:p>
        </w:tc>
      </w:tr>
    </w:tbl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04927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C5E22" w:rsidRDefault="002D71B0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2C5E22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4927" w:rsidRDefault="002C5E22" w:rsidP="0080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D71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4927">
        <w:rPr>
          <w:rFonts w:ascii="Times New Roman CYR" w:hAnsi="Times New Roman CYR" w:cs="Times New Roman CYR"/>
          <w:sz w:val="28"/>
          <w:szCs w:val="28"/>
        </w:rPr>
        <w:t>Анализируя  работу  учреждения  за  три  года  можно  отметить, что  у</w:t>
      </w:r>
      <w:r w:rsidR="009F164B">
        <w:rPr>
          <w:rFonts w:ascii="Times New Roman CYR" w:hAnsi="Times New Roman CYR" w:cs="Times New Roman CYR"/>
          <w:sz w:val="28"/>
          <w:szCs w:val="28"/>
        </w:rPr>
        <w:t>чреждение  работает  стабильно,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 штат  укомплектован  не  полностью, не  достаточно  средних  медицинских  работников. Специалисты    все  имеют  сертификаты. Врачами, имеющими  сертификат  специалиста,  санаторий  укомплектован  полностью.  </w:t>
      </w:r>
    </w:p>
    <w:p w:rsidR="00804927" w:rsidRDefault="002D71B0" w:rsidP="002C5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За последние  3  года  финансирование   сократилось. </w:t>
      </w:r>
      <w:r>
        <w:rPr>
          <w:rFonts w:ascii="Times New Roman CYR" w:hAnsi="Times New Roman CYR" w:cs="Times New Roman CYR"/>
          <w:sz w:val="28"/>
          <w:szCs w:val="28"/>
        </w:rPr>
        <w:t xml:space="preserve"> Средняя заработная плата сотрудников увеличилась по сравнению с 2012 года на 21%.</w:t>
      </w:r>
    </w:p>
    <w:p w:rsidR="002D71B0" w:rsidRDefault="002C5E22" w:rsidP="002C5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04927">
        <w:rPr>
          <w:rFonts w:ascii="Times New Roman CYR" w:hAnsi="Times New Roman CYR" w:cs="Times New Roman CYR"/>
          <w:sz w:val="28"/>
          <w:szCs w:val="28"/>
        </w:rPr>
        <w:t>Оборудование  приобретено за счет  платных  услуг. Введены  новые  виды  лечения: Спелеотерапия и аэрогидромассаж нижних конечностей.</w:t>
      </w:r>
    </w:p>
    <w:p w:rsidR="002D71B0" w:rsidRDefault="002D71B0" w:rsidP="002C5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За последние 3 года внедрен единый регистр медицинских работников, осуществлена защита программного обеспечения персональных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компьютеров, внедрение систем электронного документооборота.</w:t>
      </w:r>
      <w:r w:rsidR="0080492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D71B0" w:rsidRDefault="002D71B0" w:rsidP="002C5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 весь период не было случая инфекционных заболеваний и внутрибольничных инфекций. </w:t>
      </w:r>
    </w:p>
    <w:p w:rsidR="00804927" w:rsidRDefault="002D71B0" w:rsidP="002C5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Результат эффективности оздоровления составляет 94-95%.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477B02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B440C8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02">
        <w:rPr>
          <w:rFonts w:ascii="Calibri" w:hAnsi="Calibri" w:cs="Calibri"/>
          <w:sz w:val="28"/>
          <w:szCs w:val="28"/>
        </w:rPr>
        <w:t xml:space="preserve">                 </w:t>
      </w:r>
      <w:r w:rsidRPr="00B440C8">
        <w:rPr>
          <w:rFonts w:ascii="Times New Roman" w:hAnsi="Times New Roman" w:cs="Times New Roman"/>
          <w:sz w:val="28"/>
          <w:szCs w:val="28"/>
        </w:rPr>
        <w:t>Главный  врач:                                          М.В.Паршина</w:t>
      </w:r>
    </w:p>
    <w:p w:rsidR="00804927" w:rsidRPr="002D71B0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4927" w:rsidRPr="00B440C8" w:rsidRDefault="00B440C8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0C8">
        <w:rPr>
          <w:rFonts w:ascii="Times New Roman" w:hAnsi="Times New Roman" w:cs="Times New Roman"/>
          <w:sz w:val="28"/>
          <w:szCs w:val="28"/>
        </w:rPr>
        <w:t>Медицинский статистик</w:t>
      </w:r>
      <w:r>
        <w:rPr>
          <w:rFonts w:ascii="Times New Roman" w:hAnsi="Times New Roman" w:cs="Times New Roman"/>
          <w:sz w:val="28"/>
          <w:szCs w:val="28"/>
        </w:rPr>
        <w:t>:                                        О.А.Попова</w:t>
      </w:r>
    </w:p>
    <w:p w:rsidR="00804927" w:rsidRPr="002D71B0" w:rsidRDefault="00804927" w:rsidP="008049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65FE" w:rsidRDefault="00F765FE" w:rsidP="00F765FE">
      <w:pPr>
        <w:spacing w:line="240" w:lineRule="auto"/>
        <w:ind w:left="17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765FE" w:rsidRDefault="00F765FE" w:rsidP="00F765FE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</w:p>
    <w:p w:rsidR="00F765FE" w:rsidRDefault="00F765FE" w:rsidP="00F765FE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765FE" w:rsidRDefault="00F765FE" w:rsidP="002215B4">
      <w:pPr>
        <w:spacing w:line="240" w:lineRule="auto"/>
        <w:ind w:left="17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1F3C" w:rsidRDefault="00171F3C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4AD8" w:rsidRDefault="00494AD8" w:rsidP="00DB7232">
      <w:pPr>
        <w:spacing w:line="240" w:lineRule="auto"/>
        <w:ind w:left="1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5D2F" w:rsidRDefault="003A5D2F" w:rsidP="003A5D2F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A5D2F" w:rsidRDefault="003A5D2F" w:rsidP="00464984">
      <w:pPr>
        <w:spacing w:line="240" w:lineRule="auto"/>
        <w:ind w:left="170"/>
        <w:rPr>
          <w:rFonts w:ascii="Times New Roman" w:hAnsi="Times New Roman" w:cs="Times New Roman"/>
          <w:noProof/>
          <w:sz w:val="28"/>
          <w:szCs w:val="28"/>
        </w:rPr>
      </w:pPr>
    </w:p>
    <w:p w:rsidR="00464984" w:rsidRPr="00464984" w:rsidRDefault="00464984" w:rsidP="00464984">
      <w:pPr>
        <w:spacing w:line="240" w:lineRule="auto"/>
        <w:ind w:lef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464984" w:rsidRPr="00464984" w:rsidSect="002215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3E" w:rsidRDefault="006B3D3E" w:rsidP="000721F9">
      <w:pPr>
        <w:spacing w:after="0" w:line="240" w:lineRule="auto"/>
      </w:pPr>
      <w:r>
        <w:separator/>
      </w:r>
    </w:p>
  </w:endnote>
  <w:endnote w:type="continuationSeparator" w:id="1">
    <w:p w:rsidR="006B3D3E" w:rsidRDefault="006B3D3E" w:rsidP="0007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3E" w:rsidRDefault="006B3D3E" w:rsidP="000721F9">
      <w:pPr>
        <w:spacing w:after="0" w:line="240" w:lineRule="auto"/>
      </w:pPr>
      <w:r>
        <w:separator/>
      </w:r>
    </w:p>
  </w:footnote>
  <w:footnote w:type="continuationSeparator" w:id="1">
    <w:p w:rsidR="006B3D3E" w:rsidRDefault="006B3D3E" w:rsidP="0007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EDD"/>
    <w:rsid w:val="00021CE5"/>
    <w:rsid w:val="0002456C"/>
    <w:rsid w:val="000721F9"/>
    <w:rsid w:val="00171F3C"/>
    <w:rsid w:val="001A2255"/>
    <w:rsid w:val="002215B4"/>
    <w:rsid w:val="00260EDD"/>
    <w:rsid w:val="0027406D"/>
    <w:rsid w:val="002B4F1E"/>
    <w:rsid w:val="002C577B"/>
    <w:rsid w:val="002C5E22"/>
    <w:rsid w:val="002D71B0"/>
    <w:rsid w:val="003A5D2F"/>
    <w:rsid w:val="003C161D"/>
    <w:rsid w:val="00464087"/>
    <w:rsid w:val="00464984"/>
    <w:rsid w:val="00494AD8"/>
    <w:rsid w:val="006B3D3E"/>
    <w:rsid w:val="00804927"/>
    <w:rsid w:val="00810B4B"/>
    <w:rsid w:val="008C0509"/>
    <w:rsid w:val="009617E5"/>
    <w:rsid w:val="009A7A31"/>
    <w:rsid w:val="009E678B"/>
    <w:rsid w:val="009F164B"/>
    <w:rsid w:val="009F6067"/>
    <w:rsid w:val="00B440C8"/>
    <w:rsid w:val="00C03164"/>
    <w:rsid w:val="00C72E35"/>
    <w:rsid w:val="00C94290"/>
    <w:rsid w:val="00CE7442"/>
    <w:rsid w:val="00D7048D"/>
    <w:rsid w:val="00D90B21"/>
    <w:rsid w:val="00DB7232"/>
    <w:rsid w:val="00E37020"/>
    <w:rsid w:val="00EE318B"/>
    <w:rsid w:val="00F04389"/>
    <w:rsid w:val="00F765FE"/>
    <w:rsid w:val="00FE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1F9"/>
  </w:style>
  <w:style w:type="paragraph" w:styleId="a7">
    <w:name w:val="footer"/>
    <w:basedOn w:val="a"/>
    <w:link w:val="a8"/>
    <w:uiPriority w:val="99"/>
    <w:semiHidden/>
    <w:unhideWhenUsed/>
    <w:rsid w:val="0007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1F9"/>
  </w:style>
  <w:style w:type="paragraph" w:styleId="a9">
    <w:name w:val="List Paragraph"/>
    <w:basedOn w:val="a"/>
    <w:uiPriority w:val="34"/>
    <w:qFormat/>
    <w:rsid w:val="00464984"/>
    <w:pPr>
      <w:ind w:left="720"/>
      <w:contextualSpacing/>
    </w:pPr>
  </w:style>
  <w:style w:type="table" w:styleId="aa">
    <w:name w:val="Table Grid"/>
    <w:basedOn w:val="a1"/>
    <w:uiPriority w:val="59"/>
    <w:rsid w:val="00F04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Бюджетные путевки</c:v>
                </c:pt>
              </c:strCache>
            </c:strRef>
          </c:tx>
          <c:dLbls>
            <c:showVal val="1"/>
          </c:dLbls>
          <c:cat>
            <c:numRef>
              <c:f>Лист1!$D$4:$F$4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Лист1!$D$5:$F$5</c:f>
              <c:numCache>
                <c:formatCode>General</c:formatCode>
                <c:ptCount val="3"/>
                <c:pt idx="0">
                  <c:v>623</c:v>
                </c:pt>
                <c:pt idx="1">
                  <c:v>655</c:v>
                </c:pt>
                <c:pt idx="2">
                  <c:v>687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Внебюджетные путевки</c:v>
                </c:pt>
              </c:strCache>
            </c:strRef>
          </c:tx>
          <c:dLbls>
            <c:showVal val="1"/>
          </c:dLbls>
          <c:cat>
            <c:numRef>
              <c:f>Лист1!$D$4:$F$4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hape val="box"/>
        <c:axId val="85874176"/>
        <c:axId val="85875712"/>
        <c:axId val="0"/>
      </c:bar3DChart>
      <c:catAx>
        <c:axId val="85874176"/>
        <c:scaling>
          <c:orientation val="minMax"/>
        </c:scaling>
        <c:axPos val="b"/>
        <c:numFmt formatCode="General" sourceLinked="1"/>
        <c:tickLblPos val="nextTo"/>
        <c:crossAx val="85875712"/>
        <c:crosses val="autoZero"/>
        <c:auto val="1"/>
        <c:lblAlgn val="ctr"/>
        <c:lblOffset val="100"/>
      </c:catAx>
      <c:valAx>
        <c:axId val="85875712"/>
        <c:scaling>
          <c:orientation val="minMax"/>
        </c:scaling>
        <c:axPos val="l"/>
        <c:majorGridlines/>
        <c:numFmt formatCode="General" sourceLinked="1"/>
        <c:tickLblPos val="nextTo"/>
        <c:crossAx val="858741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Лист1!$E$26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5765966754155733E-2"/>
                  <c:y val="-3.0109361329833811E-2"/>
                </c:manualLayout>
              </c:layout>
              <c:showVal val="1"/>
            </c:dLbl>
            <c:dLbl>
              <c:idx val="1"/>
              <c:layout>
                <c:manualLayout>
                  <c:x val="-3.5213254593175855E-2"/>
                  <c:y val="-2.78528725575970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Лист1!$D$27:$D$28</c:f>
              <c:strCache>
                <c:ptCount val="2"/>
                <c:pt idx="0">
                  <c:v>Бюджетные путевки</c:v>
                </c:pt>
                <c:pt idx="1">
                  <c:v>Внебюджетные путевки</c:v>
                </c:pt>
              </c:strCache>
            </c:strRef>
          </c:cat>
          <c:val>
            <c:numRef>
              <c:f>Лист1!$E$27:$E$28</c:f>
              <c:numCache>
                <c:formatCode>0.00%</c:formatCode>
                <c:ptCount val="2"/>
                <c:pt idx="0">
                  <c:v>0.86200000000000065</c:v>
                </c:pt>
                <c:pt idx="1">
                  <c:v>0.13800000000000001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Лист1!$E$26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5765966754155733E-2"/>
                  <c:y val="-3.0109361329833811E-2"/>
                </c:manualLayout>
              </c:layout>
              <c:showVal val="1"/>
            </c:dLbl>
            <c:dLbl>
              <c:idx val="1"/>
              <c:layout>
                <c:manualLayout>
                  <c:x val="-3.5213254593175855E-2"/>
                  <c:y val="-2.78528725575970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Лист1!$D$27:$D$28</c:f>
              <c:strCache>
                <c:ptCount val="2"/>
                <c:pt idx="0">
                  <c:v>Бюджетные путевки</c:v>
                </c:pt>
                <c:pt idx="1">
                  <c:v>Внебюджетные путевки</c:v>
                </c:pt>
              </c:strCache>
            </c:strRef>
          </c:cat>
          <c:val>
            <c:numRef>
              <c:f>Лист1!$E$27:$E$28</c:f>
              <c:numCache>
                <c:formatCode>0.00%</c:formatCode>
                <c:ptCount val="2"/>
                <c:pt idx="0">
                  <c:v>0.92900000000000005</c:v>
                </c:pt>
                <c:pt idx="1">
                  <c:v>7.0999999999999994E-2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Лист1!$E$26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5765966754155733E-2"/>
                  <c:y val="-3.0109361329833811E-2"/>
                </c:manualLayout>
              </c:layout>
              <c:showVal val="1"/>
            </c:dLbl>
            <c:dLbl>
              <c:idx val="1"/>
              <c:layout>
                <c:manualLayout>
                  <c:x val="-3.5213254593175855E-2"/>
                  <c:y val="-2.78528725575970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Лист1!$D$27:$D$28</c:f>
              <c:strCache>
                <c:ptCount val="2"/>
                <c:pt idx="0">
                  <c:v>Бюджетные путевки</c:v>
                </c:pt>
                <c:pt idx="1">
                  <c:v>Внебюджетные путевки</c:v>
                </c:pt>
              </c:strCache>
            </c:strRef>
          </c:cat>
          <c:val>
            <c:numRef>
              <c:f>Лист1!$E$27:$E$28</c:f>
              <c:numCache>
                <c:formatCode>0.00%</c:formatCode>
                <c:ptCount val="2"/>
                <c:pt idx="0">
                  <c:v>0.93200000000000005</c:v>
                </c:pt>
                <c:pt idx="1">
                  <c:v>6.8000000000000019E-2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ABF8-8781-4B90-BF14-B34CEA7E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РДКС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11</cp:revision>
  <cp:lastPrinted>2014-04-15T11:56:00Z</cp:lastPrinted>
  <dcterms:created xsi:type="dcterms:W3CDTF">2014-04-11T06:32:00Z</dcterms:created>
  <dcterms:modified xsi:type="dcterms:W3CDTF">2014-06-27T10:42:00Z</dcterms:modified>
</cp:coreProperties>
</file>